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Индукционная система стационарная Dstrana Zone-30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https://dostupnaya-strana.ru/products/induktsionnaya-sistema-statsionarnaya-dstrana-zone-30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" w:before="20" w:line="240" w:lineRule="auto"/>
              <w:rPr/>
            </w:pPr>
            <w:r w:rsidDel="00000000" w:rsidR="00000000" w:rsidRPr="00000000">
              <w:rPr>
                <w:color w:val="434142"/>
                <w:highlight w:val="white"/>
                <w:rtl w:val="0"/>
              </w:rPr>
              <w:t xml:space="preserve">Индукционная система стационарная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</w:t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</w:t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т.п.): наличие</w:t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Индукционная система может быть использована как передающее устройство при общении посетителя (инвалида по слуху) с персоналом учреждения: наличие</w:t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Зона индукционного поля, м: не более 30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Напряжение питания – 220В±5%, 50 Гц: наличие</w:t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Блок питания - AC220 - DC 12 В, 5А: наличие</w:t>
            </w:r>
          </w:p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Потребляемая мощность, Вт: не более 25</w:t>
            </w:r>
          </w:p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Частотный диапазон (при уровне -3 дБ), Гц: от 100 до 8000</w:t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Индикатор питания: светодиодный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электретного микрофона (с фантомным питанием до 9 В): наличие</w:t>
            </w:r>
          </w:p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jack 3.5 мм для подключения источника звукового сигнала (входное напряжение 0,2-2 В): наличие</w:t>
            </w:r>
          </w:p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Размер усилителя, мм: не менее 186х96х53</w:t>
            </w:r>
          </w:p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Вес усилителя, кг: не менее 0,4</w:t>
            </w:r>
          </w:p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Условия эксплуатации:</w:t>
            </w:r>
          </w:p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температура, градус С: от плюс 10 до плюс 35,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относительная влажность воздуха, %: от 30 до 93,</w:t>
            </w:r>
          </w:p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атмосферное давление, кПа: от 70 до 106.</w:t>
            </w:r>
          </w:p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 поставки:</w:t>
            </w:r>
          </w:p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система, шт: не менее 1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питания, шт: не менее 1</w:t>
            </w:r>
          </w:p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Руководство по эксплуатации/Паспорт, шт: не менее 1</w:t>
            </w:r>
          </w:p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color w:val="34343c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color w:val="34343c"/>
                <w:highlight w:val="white"/>
                <w:rtl w:val="0"/>
              </w:rPr>
              <w:t xml:space="preserve">Кабель индукционного контура, м: не менее 25 </w:t>
            </w:r>
          </w:p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</w:tabs>
              <w:spacing w:after="20" w:before="2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Упаковка, шт: не менее 1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3378200</wp:posOffset>
              </wp:positionH>
              <wp:positionV relativeFrom="paragraph">
                <wp:posOffset>-68579</wp:posOffset>
              </wp:positionV>
              <wp:extent cx="2679065" cy="441325"/>
              <wp:effectExtent b="0" l="0" r="0" t="0"/>
              <wp:wrapSquare wrapText="bothSides" distB="45720" distT="4572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3378200</wp:posOffset>
              </wp:positionH>
              <wp:positionV relativeFrom="paragraph">
                <wp:posOffset>-68579</wp:posOffset>
              </wp:positionV>
              <wp:extent cx="2679065" cy="44132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9065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-175889</wp:posOffset>
          </wp:positionV>
          <wp:extent cx="1749425" cy="546735"/>
          <wp:effectExtent b="0" l="0" r="0" t="0"/>
          <wp:wrapNone/>
          <wp:docPr descr="Dostupnaya-Strana.ru" id="14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tsionnaya-sistema-statsionarnaya-dstrana-zone-3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+ZeI2ApjjjzWNESS08l0blypw==">CgMxLjA4AHIhMU5HeEM3cGpDX28xN3NCcXcxMjA3am9FbmtQMHVWTUJq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